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67</w:t>
      </w:r>
    </w:p>
    <w:p>
      <w:r>
        <w:t>Bundesgericht (BGE), 1976-07-22, FR</w:t>
      </w:r>
    </w:p>
    <w:p>
      <w:r>
        <w:rPr>
          <w:b/>
        </w:rPr>
        <w:t xml:space="preserve">Quelle: </w:t>
      </w:r>
      <w:r>
        <w:t>https://mcp.opencaselaw.ch/entscheid/bge_102 III 67</w:t>
      </w:r>
    </w:p>
    <w:p>
      <w:r>
        <w:t>FR: ATF 102 III 67</w:t>
      </w:r>
    </w:p>
    <w:p>
      <w:r>
        <w:t>IT: DTF 102 III 67</w:t>
      </w:r>
    </w:p>
    <w:p>
      <w:pPr>
        <w:pStyle w:val="Heading2"/>
      </w:pPr>
      <w:r>
        <w:t>Regeste</w:t>
      </w:r>
    </w:p>
    <w:p>
      <w:r>
        <w:t>Regeste Aberkennungsklage (Art. 83 Abs. 2 SchKG); Einstellung des Betreibungsverfahrens. Ob die Klage rechtzeitig angehoben wurde, ist vom für den Aberkennungsprozess zuständigen Richter zu entscheiden. Die Betreibungsbehörden brauchen den richterlichen Entscheid nur dann nicht abzuwarten, wenn offensichtlich feststeht, dass die Klage nach Ablauf der gesetzlichen Frist angehoben wurde. Sobald hierüber Zweifel bestehen, haben sie davon abzusehen, die Rechtsöffnung als endgültig zu betrachten und das Vollstreckungsverfahren fortzusetzen (Bestätigung der Rechtsprechung).</w:t>
      </w:r>
    </w:p>
    <w:p>
      <w:pPr>
        <w:pStyle w:val="Heading2"/>
      </w:pPr>
      <w:r>
        <w:t>Erwägungen</w:t>
      </w:r>
    </w:p>
    <w:p>
      <w:r>
        <w:rPr>
          <w:b/>
        </w:rPr>
        <w:t>E. 1</w:t>
      </w:r>
    </w:p>
    <w:p>
      <w:r>
        <w:t>La recourante fait valoir, comme devant l'autorité cantonale supérieure de surveillance, qu'en présence de textes clairs une coutume cantonale ne saurait l'emporter sur la loi et la jurisprudence du Tribunal fédéral. En l'espèce, dit-elle, il n'y a aucun doute que l'action en libération de dette a été ouverte tardivement, puisqu'il s'est écoulé plus de deux mois entre la décision de mainlevée de première instance et le dépôt de la demande; les autorités de poursuite devaient donc considérer la saisie comme définitive et suivre à l'exécution forcée.</w:t>
      </w:r>
    </w:p>
    <w:p>
      <w:r>
        <w:rPr>
          <w:b/>
        </w:rPr>
        <w:t>E. 2</w:t>
      </w:r>
    </w:p>
    <w:p>
      <w:r>
        <w:t>a) La première question qui se pose en l'occurrence est de savoir si, en vertu d'une pratique appliquée pendant plus de trente ans par les autorités vaudoises nonobstant le texte de la LVLP, le recours en matière de mainlevée provisoire a effet suspensif, le délai pour ouvrir action en libération de dette ne commençant à courir que dès la communication de l'arrêt de la juridiction cantonale supérieure. Mais il s'agit là d'un problème de droit cantonal, qui ne peut pas être examiné par le Tribunal fédéral ( art. 43 al. 1, 81 OJ ). Le recours est donc irrecevable sur ce point. b) La question de savoir si l'action en libération de dette a BGE 102 III 67 S. 71 été introduite en temps utile n'est ainsi pas claire en l'espèce. Dans ces conditions, conformément à une jurisprudence bien établie, rappelée à bon escient par l'autorité cantonale supérieure de surveillance et qui n'est pas critiquée par la recourante ( ATF 28 I 275 , ATF 53 III 68 consid. 1, ATF 65 III 91 , 91 III 17 consid. 1; cf. JAEGER, n. 7 ad art. 83 LP ), les autorités de poursuite sont tenues d'attendre la décision judiciaire. Respectant ces principes, l'arrêt attaqué ne viole pas le droit fédéral. Dispositiv Par ces motifs, la Chambre des poursuites et des faillites: Rejette le recours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